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D8" w:rsidRPr="00710A8D" w:rsidRDefault="0023424E" w:rsidP="0009666B">
      <w:pPr>
        <w:pStyle w:val="PargrafodaLista"/>
        <w:spacing w:line="276" w:lineRule="auto"/>
        <w:ind w:left="284"/>
        <w:jc w:val="center"/>
        <w:rPr>
          <w:rFonts w:ascii="Arial" w:hAnsi="Arial" w:cs="Arial"/>
          <w:b/>
          <w:sz w:val="24"/>
          <w:szCs w:val="24"/>
        </w:rPr>
      </w:pPr>
      <w:r>
        <w:rPr>
          <w:rFonts w:ascii="Arial" w:hAnsi="Arial" w:cs="Arial"/>
          <w:b/>
          <w:sz w:val="24"/>
          <w:szCs w:val="24"/>
        </w:rPr>
        <w:t>Para</w:t>
      </w:r>
      <w:bookmarkStart w:id="0" w:name="_GoBack"/>
      <w:bookmarkEnd w:id="0"/>
      <w:r>
        <w:rPr>
          <w:rFonts w:ascii="Arial" w:hAnsi="Arial" w:cs="Arial"/>
          <w:b/>
          <w:sz w:val="24"/>
          <w:szCs w:val="24"/>
        </w:rPr>
        <w:t xml:space="preserve"> a so</w:t>
      </w:r>
      <w:r w:rsidR="000F07D8" w:rsidRPr="00710A8D">
        <w:rPr>
          <w:rFonts w:ascii="Arial" w:hAnsi="Arial" w:cs="Arial"/>
          <w:b/>
          <w:sz w:val="24"/>
          <w:szCs w:val="24"/>
        </w:rPr>
        <w:t>licitação de registro de funcionamento de estabelecimentos é obrigatória a apresentação dos seguintes documentos:</w:t>
      </w:r>
    </w:p>
    <w:p w:rsidR="000F07D8" w:rsidRPr="00B0757E" w:rsidRDefault="000F07D8" w:rsidP="000F07D8">
      <w:pPr>
        <w:spacing w:line="276" w:lineRule="auto"/>
        <w:jc w:val="both"/>
        <w:rPr>
          <w:rFonts w:ascii="Arial" w:hAnsi="Arial" w:cs="Arial"/>
        </w:rPr>
      </w:pPr>
      <w:r w:rsidRPr="00B0757E">
        <w:rPr>
          <w:rFonts w:ascii="Arial" w:hAnsi="Arial" w:cs="Arial"/>
        </w:rPr>
        <w:t xml:space="preserve">I –Requerimento simples dirigido ao responsável pelo Serviço de Inspeção Municipal – SIM (Anexo I); </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II </w:t>
      </w:r>
      <w:r w:rsidRPr="00B0757E">
        <w:rPr>
          <w:rFonts w:ascii="Arial" w:hAnsi="Arial" w:cs="Arial"/>
        </w:rPr>
        <w:t>– Dados do proprietário – ANEXO II;</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III </w:t>
      </w:r>
      <w:r w:rsidRPr="00B0757E">
        <w:rPr>
          <w:rFonts w:ascii="Arial" w:hAnsi="Arial" w:cs="Arial"/>
        </w:rPr>
        <w:t>– Dados do estabelecimento – ANEXO III;</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IV </w:t>
      </w:r>
      <w:r w:rsidRPr="00B0757E">
        <w:rPr>
          <w:rFonts w:ascii="Arial" w:hAnsi="Arial" w:cs="Arial"/>
        </w:rPr>
        <w:t>– Dados do responsável técnico – ANEXO IV;</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V </w:t>
      </w:r>
      <w:r w:rsidRPr="00B0757E">
        <w:rPr>
          <w:rFonts w:ascii="Arial" w:hAnsi="Arial" w:cs="Arial"/>
        </w:rPr>
        <w:t>– Memorial Econômico Sanitário do Estabelecimento – ANEXO V;</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VI </w:t>
      </w:r>
      <w:r w:rsidRPr="00B0757E">
        <w:rPr>
          <w:rFonts w:ascii="Arial" w:hAnsi="Arial" w:cs="Arial"/>
        </w:rPr>
        <w:t>– Cadastro do produto – ANEXO VI;</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VII </w:t>
      </w:r>
      <w:r w:rsidRPr="00B0757E">
        <w:rPr>
          <w:rFonts w:ascii="Arial" w:hAnsi="Arial" w:cs="Arial"/>
        </w:rPr>
        <w:t>– Declaração – ANEXO VII;</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VIII </w:t>
      </w:r>
      <w:r w:rsidRPr="00B0757E">
        <w:rPr>
          <w:rFonts w:ascii="Arial" w:hAnsi="Arial" w:cs="Arial"/>
        </w:rPr>
        <w:t>– Início de atividades – ANEXO VIII;</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IX </w:t>
      </w:r>
      <w:r w:rsidRPr="00B0757E">
        <w:rPr>
          <w:rFonts w:ascii="Arial" w:hAnsi="Arial" w:cs="Arial"/>
        </w:rPr>
        <w:t>– Fluxograma de produção – ANEXO IX;</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X </w:t>
      </w:r>
      <w:r w:rsidRPr="00B0757E">
        <w:rPr>
          <w:rFonts w:ascii="Arial" w:hAnsi="Arial" w:cs="Arial"/>
        </w:rPr>
        <w:t>– Composição dos produtos – ANEXO X;</w:t>
      </w:r>
    </w:p>
    <w:p w:rsidR="000F07D8" w:rsidRPr="00B0757E" w:rsidRDefault="000F07D8" w:rsidP="000F07D8">
      <w:pPr>
        <w:autoSpaceDE w:val="0"/>
        <w:autoSpaceDN w:val="0"/>
        <w:adjustRightInd w:val="0"/>
        <w:spacing w:line="276" w:lineRule="auto"/>
        <w:jc w:val="both"/>
        <w:rPr>
          <w:rFonts w:ascii="Arial" w:hAnsi="Arial" w:cs="Arial"/>
        </w:rPr>
      </w:pPr>
      <w:r w:rsidRPr="00B0757E">
        <w:rPr>
          <w:rFonts w:ascii="Arial" w:hAnsi="Arial" w:cs="Arial"/>
          <w:bCs/>
        </w:rPr>
        <w:t xml:space="preserve">XI </w:t>
      </w:r>
      <w:r w:rsidRPr="00B0757E">
        <w:rPr>
          <w:rFonts w:ascii="Arial" w:hAnsi="Arial" w:cs="Arial"/>
        </w:rPr>
        <w:t>– Declaração de Responsabilidade de Coordenação de Produção – ANEXO XI;</w:t>
      </w:r>
    </w:p>
    <w:p w:rsidR="000F07D8" w:rsidRPr="00B0757E" w:rsidRDefault="000F07D8" w:rsidP="000F07D8">
      <w:pPr>
        <w:spacing w:line="276" w:lineRule="auto"/>
        <w:jc w:val="both"/>
        <w:rPr>
          <w:rFonts w:ascii="Arial" w:hAnsi="Arial" w:cs="Arial"/>
        </w:rPr>
      </w:pPr>
      <w:r w:rsidRPr="00B0757E">
        <w:rPr>
          <w:rFonts w:ascii="Arial" w:hAnsi="Arial" w:cs="Arial"/>
        </w:rPr>
        <w:t xml:space="preserve">XII – Planta baixa ou croquis das instalações, com layout dos equipamentos e Memorial Descritivo simples e sucinto da obra, com destaque para a fonte e a forma de abastecimento de água, sistema de escoamento e de tratamento do esgoto e resíduos industriais, e proteção empregada contra insetos; </w:t>
      </w:r>
    </w:p>
    <w:p w:rsidR="000F07D8" w:rsidRPr="00B0757E" w:rsidRDefault="000F07D8" w:rsidP="000F07D8">
      <w:pPr>
        <w:spacing w:line="276" w:lineRule="auto"/>
        <w:jc w:val="both"/>
        <w:rPr>
          <w:rFonts w:ascii="Arial" w:hAnsi="Arial" w:cs="Arial"/>
        </w:rPr>
      </w:pPr>
      <w:r w:rsidRPr="00B0757E">
        <w:rPr>
          <w:rFonts w:ascii="Arial" w:hAnsi="Arial" w:cs="Arial"/>
        </w:rPr>
        <w:t xml:space="preserve">XIII – Cópia do contrato ou estatuto social da firma, registrada no órgão competente (no caso de firma constituída); </w:t>
      </w:r>
    </w:p>
    <w:p w:rsidR="000F07D8" w:rsidRPr="00B0757E" w:rsidRDefault="000F07D8" w:rsidP="000F07D8">
      <w:pPr>
        <w:spacing w:line="276" w:lineRule="auto"/>
        <w:jc w:val="both"/>
        <w:rPr>
          <w:rFonts w:ascii="Arial" w:hAnsi="Arial" w:cs="Arial"/>
        </w:rPr>
      </w:pPr>
      <w:r w:rsidRPr="00B0757E">
        <w:rPr>
          <w:rFonts w:ascii="Arial" w:hAnsi="Arial" w:cs="Arial"/>
        </w:rPr>
        <w:t>XIV</w:t>
      </w:r>
      <w:r>
        <w:rPr>
          <w:rFonts w:ascii="Arial" w:hAnsi="Arial" w:cs="Arial"/>
        </w:rPr>
        <w:t xml:space="preserve"> - C</w:t>
      </w:r>
      <w:r w:rsidRPr="00B0757E">
        <w:rPr>
          <w:rFonts w:ascii="Arial" w:hAnsi="Arial" w:cs="Arial"/>
        </w:rPr>
        <w:t xml:space="preserve">ópia do Cadastro Nacional de Pessoas Jurídicas – CNPJ, ou CPF do produtor para empreendimentos individuais; </w:t>
      </w:r>
    </w:p>
    <w:p w:rsidR="000F07D8" w:rsidRPr="00B0757E" w:rsidRDefault="000F07D8" w:rsidP="000F07D8">
      <w:pPr>
        <w:autoSpaceDE w:val="0"/>
        <w:autoSpaceDN w:val="0"/>
        <w:adjustRightInd w:val="0"/>
        <w:jc w:val="both"/>
        <w:rPr>
          <w:rFonts w:ascii="Arial" w:hAnsi="Arial" w:cs="Arial"/>
        </w:rPr>
      </w:pPr>
      <w:r w:rsidRPr="00B0757E">
        <w:rPr>
          <w:rFonts w:ascii="Arial" w:hAnsi="Arial" w:cs="Arial"/>
        </w:rPr>
        <w:t xml:space="preserve">XV - Cópia de locação/arrendamento ou do registro do imóvel, destacando-se, que devem ser localizados em área </w:t>
      </w:r>
      <w:proofErr w:type="spellStart"/>
      <w:r w:rsidRPr="00B0757E">
        <w:rPr>
          <w:rFonts w:ascii="Arial" w:hAnsi="Arial" w:cs="Arial"/>
        </w:rPr>
        <w:t>sub-urbana</w:t>
      </w:r>
      <w:proofErr w:type="spellEnd"/>
      <w:r w:rsidRPr="00B0757E">
        <w:rPr>
          <w:rFonts w:ascii="Arial" w:hAnsi="Arial" w:cs="Arial"/>
        </w:rPr>
        <w:t xml:space="preserve"> ou rural, onde garanta a saúde pública; </w:t>
      </w:r>
    </w:p>
    <w:p w:rsidR="000F07D8" w:rsidRPr="00B0757E" w:rsidRDefault="000F07D8" w:rsidP="000F07D8">
      <w:pPr>
        <w:autoSpaceDE w:val="0"/>
        <w:autoSpaceDN w:val="0"/>
        <w:adjustRightInd w:val="0"/>
        <w:jc w:val="both"/>
        <w:rPr>
          <w:rFonts w:ascii="Arial" w:hAnsi="Arial" w:cs="Arial"/>
        </w:rPr>
      </w:pPr>
      <w:r w:rsidRPr="00B0757E">
        <w:rPr>
          <w:rFonts w:ascii="Arial" w:hAnsi="Arial" w:cs="Arial"/>
          <w:bCs/>
        </w:rPr>
        <w:t xml:space="preserve">XVI </w:t>
      </w:r>
      <w:r w:rsidRPr="00B0757E">
        <w:rPr>
          <w:rFonts w:ascii="Arial" w:hAnsi="Arial" w:cs="Arial"/>
        </w:rPr>
        <w:t xml:space="preserve">– Cópia do alvará de </w:t>
      </w:r>
      <w:r>
        <w:rPr>
          <w:rFonts w:ascii="Arial" w:hAnsi="Arial" w:cs="Arial"/>
        </w:rPr>
        <w:t>funcionamento</w:t>
      </w:r>
      <w:r w:rsidRPr="00B0757E">
        <w:rPr>
          <w:rFonts w:ascii="Arial" w:hAnsi="Arial" w:cs="Arial"/>
        </w:rPr>
        <w:t xml:space="preserve"> e localização;</w:t>
      </w:r>
    </w:p>
    <w:p w:rsidR="000F07D8" w:rsidRPr="00B0757E" w:rsidRDefault="000F07D8" w:rsidP="000F07D8">
      <w:pPr>
        <w:autoSpaceDE w:val="0"/>
        <w:autoSpaceDN w:val="0"/>
        <w:adjustRightInd w:val="0"/>
        <w:jc w:val="both"/>
        <w:rPr>
          <w:rFonts w:ascii="Arial" w:hAnsi="Arial" w:cs="Arial"/>
        </w:rPr>
      </w:pPr>
      <w:r w:rsidRPr="00B0757E">
        <w:rPr>
          <w:rFonts w:ascii="Arial" w:hAnsi="Arial" w:cs="Arial"/>
          <w:bCs/>
        </w:rPr>
        <w:t xml:space="preserve">XVII </w:t>
      </w:r>
      <w:r w:rsidRPr="00B0757E">
        <w:rPr>
          <w:rFonts w:ascii="Arial" w:hAnsi="Arial" w:cs="Arial"/>
        </w:rPr>
        <w:t>– Certidão Negativa de Débito – CND;</w:t>
      </w:r>
    </w:p>
    <w:p w:rsidR="000F07D8" w:rsidRPr="00B0757E" w:rsidRDefault="000F07D8" w:rsidP="000F07D8">
      <w:pPr>
        <w:autoSpaceDE w:val="0"/>
        <w:autoSpaceDN w:val="0"/>
        <w:adjustRightInd w:val="0"/>
        <w:jc w:val="both"/>
        <w:rPr>
          <w:rFonts w:ascii="Arial" w:hAnsi="Arial" w:cs="Arial"/>
        </w:rPr>
      </w:pPr>
      <w:r w:rsidRPr="00B0757E">
        <w:rPr>
          <w:rFonts w:ascii="Arial" w:hAnsi="Arial" w:cs="Arial"/>
          <w:bCs/>
        </w:rPr>
        <w:t xml:space="preserve">XVIII </w:t>
      </w:r>
      <w:r w:rsidRPr="00B0757E">
        <w:rPr>
          <w:rFonts w:ascii="Arial" w:hAnsi="Arial" w:cs="Arial"/>
        </w:rPr>
        <w:t>– Cópias dos documentos pessoais do proprietário e responsável técnico (RG, CPF e carteira profissional).</w:t>
      </w:r>
    </w:p>
    <w:p w:rsidR="000F07D8" w:rsidRPr="00E47D6C" w:rsidRDefault="000F07D8" w:rsidP="000F07D8">
      <w:pPr>
        <w:spacing w:line="276" w:lineRule="auto"/>
        <w:jc w:val="both"/>
        <w:rPr>
          <w:rFonts w:ascii="Arial" w:hAnsi="Arial" w:cs="Arial"/>
        </w:rPr>
      </w:pPr>
      <w:r w:rsidRPr="00B0757E">
        <w:rPr>
          <w:rFonts w:ascii="Arial" w:hAnsi="Arial" w:cs="Arial"/>
        </w:rPr>
        <w:t>X</w:t>
      </w:r>
      <w:r w:rsidRPr="00B0757E">
        <w:rPr>
          <w:rFonts w:ascii="Arial" w:hAnsi="Arial" w:cs="Arial"/>
          <w:bCs/>
        </w:rPr>
        <w:t>IX</w:t>
      </w:r>
      <w:r w:rsidRPr="00B0757E">
        <w:rPr>
          <w:rFonts w:ascii="Arial" w:hAnsi="Arial" w:cs="Arial"/>
        </w:rPr>
        <w:t xml:space="preserve"> - Registro no Cadastro de Contribuinte do ICMS ou Inscrição de Produtor Rural na </w:t>
      </w:r>
      <w:r w:rsidRPr="00E47D6C">
        <w:rPr>
          <w:rFonts w:ascii="Arial" w:hAnsi="Arial" w:cs="Arial"/>
        </w:rPr>
        <w:t xml:space="preserve">Secretaria de Estado da Fazenda, conforme for o caso; </w:t>
      </w:r>
    </w:p>
    <w:p w:rsidR="000F07D8" w:rsidRPr="00E47D6C" w:rsidRDefault="000F07D8" w:rsidP="000F07D8">
      <w:pPr>
        <w:spacing w:line="276" w:lineRule="auto"/>
        <w:jc w:val="both"/>
        <w:rPr>
          <w:rFonts w:ascii="Arial" w:hAnsi="Arial" w:cs="Arial"/>
        </w:rPr>
      </w:pPr>
      <w:r w:rsidRPr="00E47D6C">
        <w:rPr>
          <w:rFonts w:ascii="Arial" w:hAnsi="Arial" w:cs="Arial"/>
        </w:rPr>
        <w:t>XX - Licença Ambiental emitida pelo Órgão Ambiental competente, de acordo com o D</w:t>
      </w:r>
      <w:r>
        <w:rPr>
          <w:rFonts w:ascii="Arial" w:hAnsi="Arial" w:cs="Arial"/>
        </w:rPr>
        <w:t>ecreto</w:t>
      </w:r>
      <w:r w:rsidRPr="00E47D6C">
        <w:rPr>
          <w:rFonts w:ascii="Arial" w:hAnsi="Arial" w:cs="Arial"/>
        </w:rPr>
        <w:t xml:space="preserve"> </w:t>
      </w:r>
      <w:r>
        <w:rPr>
          <w:rFonts w:ascii="Arial" w:hAnsi="Arial" w:cs="Arial"/>
        </w:rPr>
        <w:t>n</w:t>
      </w:r>
      <w:r w:rsidRPr="00E47D6C">
        <w:rPr>
          <w:rFonts w:ascii="Arial" w:hAnsi="Arial" w:cs="Arial"/>
        </w:rPr>
        <w:t xml:space="preserve">°. 583 </w:t>
      </w:r>
      <w:r>
        <w:rPr>
          <w:rFonts w:ascii="Arial" w:hAnsi="Arial" w:cs="Arial"/>
        </w:rPr>
        <w:t>de</w:t>
      </w:r>
      <w:r w:rsidRPr="00E47D6C">
        <w:rPr>
          <w:rFonts w:ascii="Arial" w:hAnsi="Arial" w:cs="Arial"/>
        </w:rPr>
        <w:t xml:space="preserve"> 12 </w:t>
      </w:r>
      <w:r>
        <w:rPr>
          <w:rFonts w:ascii="Arial" w:hAnsi="Arial" w:cs="Arial"/>
        </w:rPr>
        <w:t>de</w:t>
      </w:r>
      <w:r w:rsidRPr="00E47D6C">
        <w:rPr>
          <w:rFonts w:ascii="Arial" w:hAnsi="Arial" w:cs="Arial"/>
        </w:rPr>
        <w:t xml:space="preserve"> </w:t>
      </w:r>
      <w:r>
        <w:rPr>
          <w:rFonts w:ascii="Arial" w:hAnsi="Arial" w:cs="Arial"/>
        </w:rPr>
        <w:t xml:space="preserve">junho de </w:t>
      </w:r>
      <w:r w:rsidRPr="00E47D6C">
        <w:rPr>
          <w:rFonts w:ascii="Arial" w:hAnsi="Arial" w:cs="Arial"/>
        </w:rPr>
        <w:t xml:space="preserve">2017, Resolução do CONAMA nº 385/2006 e demais legislações vigentes, observando o § 1º deste artigo. </w:t>
      </w:r>
    </w:p>
    <w:p w:rsidR="000F07D8" w:rsidRPr="00B0757E" w:rsidRDefault="000F07D8" w:rsidP="000F07D8">
      <w:pPr>
        <w:spacing w:line="276" w:lineRule="auto"/>
        <w:jc w:val="both"/>
        <w:rPr>
          <w:rFonts w:ascii="Arial" w:hAnsi="Arial" w:cs="Arial"/>
        </w:rPr>
      </w:pPr>
      <w:r w:rsidRPr="00B0757E">
        <w:rPr>
          <w:rFonts w:ascii="Arial" w:hAnsi="Arial" w:cs="Arial"/>
        </w:rPr>
        <w:t xml:space="preserve">XXI – Boletim oficial de análise da água de abastecimento, atendendo aos padrões de potabilidade estabelecidos pelo órgão competente, caso não disponha de água tratada, cujas características devem se enquadrar nos padrões microbiológicos e químicos oficiais; </w:t>
      </w:r>
    </w:p>
    <w:p w:rsidR="000F07D8" w:rsidRPr="00B0757E" w:rsidRDefault="000F07D8" w:rsidP="000F07D8">
      <w:pPr>
        <w:spacing w:line="276" w:lineRule="auto"/>
        <w:jc w:val="both"/>
        <w:rPr>
          <w:rFonts w:ascii="Arial" w:hAnsi="Arial" w:cs="Arial"/>
        </w:rPr>
      </w:pPr>
      <w:r w:rsidRPr="00B0757E">
        <w:rPr>
          <w:rFonts w:ascii="Arial" w:hAnsi="Arial" w:cs="Arial"/>
        </w:rPr>
        <w:lastRenderedPageBreak/>
        <w:t xml:space="preserve">XXII - </w:t>
      </w:r>
      <w:r w:rsidRPr="00B0757E">
        <w:rPr>
          <w:rFonts w:ascii="Arial" w:hAnsi="Arial" w:cs="Arial"/>
          <w:sz w:val="24"/>
          <w:szCs w:val="24"/>
        </w:rPr>
        <w:t xml:space="preserve">Programas de Auto Controle </w:t>
      </w:r>
      <w:proofErr w:type="spellStart"/>
      <w:proofErr w:type="gramStart"/>
      <w:r w:rsidRPr="00B0757E">
        <w:rPr>
          <w:rFonts w:ascii="Arial" w:hAnsi="Arial" w:cs="Arial"/>
          <w:sz w:val="24"/>
          <w:szCs w:val="24"/>
        </w:rPr>
        <w:t>PAC’s</w:t>
      </w:r>
      <w:proofErr w:type="spellEnd"/>
      <w:r w:rsidRPr="00B0757E">
        <w:rPr>
          <w:rFonts w:ascii="Arial" w:hAnsi="Arial" w:cs="Arial"/>
          <w:sz w:val="24"/>
          <w:szCs w:val="24"/>
        </w:rPr>
        <w:t>.</w:t>
      </w:r>
      <w:r w:rsidRPr="00B0757E">
        <w:rPr>
          <w:rFonts w:ascii="Arial" w:hAnsi="Arial" w:cs="Arial"/>
        </w:rPr>
        <w:t>;</w:t>
      </w:r>
      <w:proofErr w:type="gramEnd"/>
      <w:r w:rsidRPr="00B0757E">
        <w:rPr>
          <w:rFonts w:ascii="Arial" w:hAnsi="Arial" w:cs="Arial"/>
        </w:rPr>
        <w:t xml:space="preserve"> </w:t>
      </w:r>
    </w:p>
    <w:p w:rsidR="000F07D8" w:rsidRPr="00B0757E" w:rsidRDefault="000F07D8" w:rsidP="000F07D8">
      <w:pPr>
        <w:spacing w:line="276" w:lineRule="auto"/>
        <w:jc w:val="both"/>
        <w:rPr>
          <w:rFonts w:ascii="Arial" w:hAnsi="Arial" w:cs="Arial"/>
        </w:rPr>
      </w:pPr>
      <w:r w:rsidRPr="00B0757E">
        <w:rPr>
          <w:rFonts w:ascii="Arial" w:hAnsi="Arial" w:cs="Arial"/>
        </w:rPr>
        <w:t xml:space="preserve">XXIII - Comprovante de pagamento de taxa de registro (quando exigível). </w:t>
      </w:r>
    </w:p>
    <w:p w:rsidR="00370EA5" w:rsidRDefault="00370EA5"/>
    <w:p w:rsidR="000F07D8" w:rsidRDefault="000F07D8"/>
    <w:p w:rsidR="000F07D8" w:rsidRDefault="000F07D8"/>
    <w:p w:rsidR="000F07D8" w:rsidRDefault="000F07D8"/>
    <w:p w:rsidR="000F07D8" w:rsidRDefault="000F07D8"/>
    <w:sectPr w:rsidR="000F07D8" w:rsidSect="00601B5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30B2"/>
    <w:multiLevelType w:val="hybridMultilevel"/>
    <w:tmpl w:val="E7C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9F3E40"/>
    <w:multiLevelType w:val="hybridMultilevel"/>
    <w:tmpl w:val="9BB885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8"/>
    <w:rsid w:val="0009666B"/>
    <w:rsid w:val="000F07D8"/>
    <w:rsid w:val="0023424E"/>
    <w:rsid w:val="00370EA5"/>
    <w:rsid w:val="00601B5D"/>
    <w:rsid w:val="00710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FA71C-2FBA-426A-B5F3-8AF13889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D8"/>
  </w:style>
  <w:style w:type="paragraph" w:styleId="Ttulo2">
    <w:name w:val="heading 2"/>
    <w:basedOn w:val="Normal"/>
    <w:next w:val="Normal"/>
    <w:link w:val="Ttulo2Char"/>
    <w:qFormat/>
    <w:rsid w:val="000F07D8"/>
    <w:pPr>
      <w:keepNext/>
      <w:autoSpaceDE w:val="0"/>
      <w:autoSpaceDN w:val="0"/>
      <w:adjustRightInd w:val="0"/>
      <w:spacing w:after="0" w:line="240" w:lineRule="auto"/>
      <w:jc w:val="center"/>
      <w:outlineLvl w:val="1"/>
    </w:pPr>
    <w:rPr>
      <w:rFonts w:ascii="Times New Roman" w:eastAsia="Times New Roman" w:hAnsi="Times New Roman" w:cs="Times New Roman"/>
      <w:b/>
      <w:bCs/>
      <w:sz w:val="24"/>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07D8"/>
    <w:rPr>
      <w:rFonts w:ascii="Times New Roman" w:eastAsia="Times New Roman" w:hAnsi="Times New Roman" w:cs="Times New Roman"/>
      <w:b/>
      <w:bCs/>
      <w:sz w:val="24"/>
      <w:szCs w:val="23"/>
      <w:lang w:eastAsia="pt-BR"/>
    </w:rPr>
  </w:style>
  <w:style w:type="paragraph" w:styleId="PargrafodaLista">
    <w:name w:val="List Paragraph"/>
    <w:basedOn w:val="Normal"/>
    <w:uiPriority w:val="34"/>
    <w:qFormat/>
    <w:rsid w:val="000F07D8"/>
    <w:pPr>
      <w:ind w:left="720"/>
      <w:contextualSpacing/>
    </w:pPr>
  </w:style>
  <w:style w:type="paragraph" w:styleId="Corpodetexto">
    <w:name w:val="Body Text"/>
    <w:basedOn w:val="Normal"/>
    <w:link w:val="CorpodetextoChar"/>
    <w:rsid w:val="000F07D8"/>
    <w:pPr>
      <w:autoSpaceDE w:val="0"/>
      <w:autoSpaceDN w:val="0"/>
      <w:adjustRightInd w:val="0"/>
      <w:spacing w:after="0" w:line="240" w:lineRule="auto"/>
      <w:jc w:val="both"/>
    </w:pPr>
    <w:rPr>
      <w:rFonts w:ascii="Times New Roman" w:eastAsia="Times New Roman" w:hAnsi="Times New Roman" w:cs="Times New Roman"/>
      <w:sz w:val="24"/>
      <w:szCs w:val="23"/>
      <w:lang w:eastAsia="pt-BR"/>
    </w:rPr>
  </w:style>
  <w:style w:type="character" w:customStyle="1" w:styleId="CorpodetextoChar">
    <w:name w:val="Corpo de texto Char"/>
    <w:basedOn w:val="Fontepargpadro"/>
    <w:link w:val="Corpodetexto"/>
    <w:rsid w:val="000F07D8"/>
    <w:rPr>
      <w:rFonts w:ascii="Times New Roman" w:eastAsia="Times New Roman" w:hAnsi="Times New Roman" w:cs="Times New Roman"/>
      <w:sz w:val="24"/>
      <w:szCs w:val="23"/>
      <w:lang w:eastAsia="pt-BR"/>
    </w:rPr>
  </w:style>
  <w:style w:type="paragraph" w:customStyle="1" w:styleId="Seo">
    <w:name w:val="Seção #"/>
    <w:basedOn w:val="Normal"/>
    <w:autoRedefine/>
    <w:rsid w:val="000F07D8"/>
    <w:pPr>
      <w:tabs>
        <w:tab w:val="left" w:pos="4111"/>
      </w:tabs>
      <w:spacing w:after="0" w:line="240" w:lineRule="auto"/>
      <w:jc w:val="center"/>
    </w:pPr>
    <w:rPr>
      <w:rFonts w:ascii="Arial" w:eastAsia="Times New Roman" w:hAnsi="Arial" w:cs="Arial"/>
      <w:b/>
      <w:color w:val="000000"/>
      <w:sz w:val="24"/>
      <w:szCs w:val="20"/>
      <w:lang w:eastAsia="pt-BR"/>
    </w:rPr>
  </w:style>
  <w:style w:type="table" w:customStyle="1" w:styleId="TableNormal">
    <w:name w:val="Table Normal"/>
    <w:uiPriority w:val="2"/>
    <w:semiHidden/>
    <w:unhideWhenUsed/>
    <w:qFormat/>
    <w:rsid w:val="000F0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7D8"/>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2023-08-10T16:11:00Z</dcterms:created>
  <dcterms:modified xsi:type="dcterms:W3CDTF">2023-08-10T16:11:00Z</dcterms:modified>
</cp:coreProperties>
</file>